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420" w:firstLine="0" w:firstLineChars="0"/>
        <w:jc w:val="center"/>
        <w:textAlignment w:val="auto"/>
        <w:rPr>
          <w:rFonts w:hint="eastAsia" w:ascii="黑体" w:hAnsi="黑体" w:eastAsia="黑体"/>
          <w:b/>
          <w:sz w:val="32"/>
          <w:szCs w:val="32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420" w:firstLine="0" w:firstLineChars="0"/>
        <w:jc w:val="center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杭州市西湖职业高级中学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420" w:firstLine="0" w:firstLineChars="0"/>
        <w:jc w:val="center"/>
        <w:textAlignment w:val="auto"/>
        <w:rPr>
          <w:rFonts w:hint="default" w:ascii="仿宋" w:hAnsi="仿宋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2023</w:t>
      </w:r>
      <w:r>
        <w:rPr>
          <w:rFonts w:hint="eastAsia" w:ascii="黑体" w:hAnsi="黑体" w:eastAsia="黑体"/>
          <w:b/>
          <w:sz w:val="32"/>
          <w:szCs w:val="32"/>
        </w:rPr>
        <w:t>年度工作总结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及2024年工作计划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72" w:firstLineChars="196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 w:firstLineChars="196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第一部分   2023年工作总结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72" w:firstLineChars="196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72" w:firstLineChars="196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bookmarkStart w:id="19" w:name="_GoBack"/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b/>
          <w:sz w:val="24"/>
          <w:szCs w:val="24"/>
        </w:rPr>
        <w:t>主要工作及成绩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textAlignment w:val="auto"/>
        <w:rPr>
          <w:rFonts w:hint="default" w:ascii="仿宋" w:hAnsi="仿宋" w:eastAsia="仿宋" w:cs="仿宋"/>
          <w:b/>
          <w:sz w:val="24"/>
          <w:szCs w:val="24"/>
          <w:lang w:val="en-US"/>
        </w:rPr>
      </w:pPr>
      <w:bookmarkStart w:id="0" w:name="_Toc27404836"/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1.</w:t>
      </w:r>
      <w:r>
        <w:rPr>
          <w:rFonts w:hint="default" w:ascii="仿宋" w:hAnsi="仿宋" w:eastAsia="仿宋" w:cs="仿宋"/>
          <w:b/>
          <w:sz w:val="24"/>
          <w:szCs w:val="24"/>
          <w:lang w:val="en-US"/>
        </w:rPr>
        <w:t>“红色+能”内涵建设“四治”融合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sz w:val="24"/>
          <w:szCs w:val="24"/>
          <w:lang w:val="en-US"/>
        </w:rPr>
      </w:pPr>
      <w:r>
        <w:rPr>
          <w:rFonts w:hint="default" w:ascii="仿宋" w:hAnsi="仿宋" w:eastAsia="仿宋" w:cs="仿宋"/>
          <w:b w:val="0"/>
          <w:bCs/>
          <w:sz w:val="24"/>
          <w:szCs w:val="24"/>
          <w:lang w:val="en-US"/>
        </w:rPr>
        <w:t>实施“四组一队红色+能”“茶韵校园文化建设”“数字校园立交桥”等系列工程，规范“法治”，创新“共治”，深化“善治”，升级“智治”。西湖区教育系统“5+1”生态绩效5项考核全部优秀。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default" w:ascii="仿宋" w:hAnsi="仿宋" w:eastAsia="仿宋" w:cs="仿宋"/>
          <w:b/>
          <w:sz w:val="24"/>
          <w:szCs w:val="24"/>
          <w:lang w:val="en-US" w:eastAsia="zh-CN"/>
        </w:rPr>
        <w:t>2.</w:t>
      </w:r>
      <w:bookmarkStart w:id="1" w:name="_Toc16529"/>
      <w:bookmarkStart w:id="2" w:name="_Toc16826"/>
      <w:bookmarkStart w:id="3" w:name="_Toc22188"/>
      <w:bookmarkStart w:id="4" w:name="_Toc24085"/>
      <w:r>
        <w:rPr>
          <w:rFonts w:hint="eastAsia" w:ascii="仿宋" w:hAnsi="仿宋" w:eastAsia="仿宋" w:cs="仿宋"/>
          <w:b/>
          <w:sz w:val="24"/>
          <w:szCs w:val="24"/>
        </w:rPr>
        <w:t>“西臻学子”容短助长德技并修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/>
        </w:rPr>
        <w:t>以“西臻”系列化活动为载体，实现人才培养的优质高位发展。成功创建省“邵雪香名班主任工作室”和省“章彩淼成长导师工作室”，成立了省级“相彰德育共同体”。思政课程挖掘乡土资源，创设行走课堂，培育学生的爱乡之情和强国之志。相关活动式思政课程设计在杭州市比赛中获第一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7月烹饪专业学生再获全国职业院校技能大赛金牌，实现“八连冠”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/>
        </w:rPr>
        <w:t>；电子商务专业学生获得“学创杯”全国大学生创业模拟（创业营销赛项）特等奖。浙江省师生信息素养提升实践活动一等奖1项，省“文明风采”优秀作品1项，杭州市“文明风采”主题教育活动一等奖1项、二等奖1项、三等奖1项。各专业学生参加技能类比赛总计获得省级及以上比赛一等奖10项，二等奖4项，三等奖27项。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单招单考升学率达到100%，1+X职业等级（初级）认证，证书取得率为98.4%。室内设计、电子商务专业1+X证书试点先后获得优秀考核院校称号。</w:t>
      </w:r>
    </w:p>
    <w:bookmarkEnd w:id="1"/>
    <w:bookmarkEnd w:id="2"/>
    <w:bookmarkEnd w:id="3"/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bookmarkStart w:id="5" w:name="_Toc11198"/>
      <w:bookmarkStart w:id="6" w:name="_Toc17054"/>
      <w:bookmarkStart w:id="7" w:name="_Toc915"/>
      <w:bookmarkStart w:id="8" w:name="_Toc5083"/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3.“智”教“慧”学融创课堂深化改革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烹饪专业成功申报建设中职中餐烹饪国家教学资源库，立足岗位及其典型任务，编制人培方案3个、知识图谱12个，开发（升级或新建）标准化课程12门。电商专业参与海宁职高省级以上教学资源库建设，1门课程成功申报国家级一流线下课程，2门课程入选省级精品课程。“抠像微课制作一体机”获得课程资源建设专利。以学科资源标准为基础，教学资源开发对标之江汇、精品课程等，建设学科资源库25门，其中省级精品课程2门，省级精品资源4门，同步课堂结题3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bookmarkStart w:id="9" w:name="_Toc20226"/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4.中高企长学制培养范式发展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bookmarkStart w:id="10" w:name="_Toc10022"/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烹饪专业连续3届担任全国餐饮教育指导委员会委员，英语、茶艺、酒店管理、电子商务专业教师主编的教材和课程共计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本入围首批“十四五”国家规划教材。全部专业参与浙江省中高职一体化专业课程改革，实现“专业·产业一体化”、“跨·专业协同一体”、“中·高·企一体化”、“职业素养标准衔接” 四步转变。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textAlignment w:val="auto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5.“种子教师”优质</w:t>
      </w:r>
      <w:r>
        <w:rPr>
          <w:rFonts w:hint="default" w:ascii="仿宋" w:hAnsi="仿宋" w:eastAsia="仿宋" w:cs="仿宋"/>
          <w:b/>
          <w:sz w:val="24"/>
          <w:szCs w:val="24"/>
          <w:lang w:val="en-US" w:eastAsia="zh-CN"/>
        </w:rPr>
        <w:t>培养擦亮品牌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bookmarkStart w:id="11" w:name="_Toc1314"/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以打造高素质专业化创新型双师队伍为目标，进一步完善教师管理制度，优化教师结构，提升中职学校教师育人能力、实践能力、科研能力。双师型教师比例提升至92.7%，2023年新增正高级教师1位。教师参加各级各类教育教学比赛，获国家级金奖3项，省级一等奖2项、二等奖3项，市级获奖7项。开设市级及以上公开课5节。第四届浙江省黄炎培职业教育杰出教师1人，2023年杭州市大中小学思政工作骨干1人，杭州市优秀教师1人，参与杭州亚运会贵宾接待服务工作受到省公安厅嘉奖，17位教职工参加亚运志愿服务工作，受到好评。</w:t>
      </w:r>
    </w:p>
    <w:bookmarkEnd w:id="1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6.“教.研相长”结出丰硕科研成果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在国家、省市规划课题的引领下，带动学校主题式教研和专题式科研同向发展。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烹饪专业与德清职业中专合力申报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国家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第三届教学成果获二等奖，《实体嵌入 贯通培养——长学制背景下中职学校产教融合新探索》入选省教育科学重点规划课题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。区级以上课题获奖13项；杭州市教学成果重点培育项目1项，一般培育项目3项；教师论文区级以上获奖35篇；市级立项课题5项；浙江省优秀典型案例1项。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textAlignment w:val="auto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bookmarkStart w:id="12" w:name="_Toc482"/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7.“四链融合”产教融合扎实推进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国家级产教融合中心——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西湖职高产教融合中心4月正式启用，新增高水平“真项目、真情境、真评价”的生产性实训车间3间，安排顶岗实习学生130人，助推校企双方形成教育链、人才链、产业链、创新链“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四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链融合”发展的新型职教人才培养模式。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textAlignment w:val="auto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bookmarkStart w:id="13" w:name="_Toc10682"/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8.“西职”特色社会服务</w:t>
      </w:r>
      <w:r>
        <w:rPr>
          <w:rFonts w:hint="default" w:ascii="仿宋" w:hAnsi="仿宋" w:eastAsia="仿宋" w:cs="仿宋"/>
          <w:b/>
          <w:sz w:val="24"/>
          <w:szCs w:val="24"/>
          <w:lang w:val="en-US" w:eastAsia="zh-CN"/>
        </w:rPr>
        <w:t>领航标杆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2023年在培训和鉴定两方面，西湖职高均成为全市的“领航”标杆。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累计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开展职业技能培训项目49个，培训人数达5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727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人，完成率1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63.6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%，超额完成省市民生工程指标任务。本年度开展技能鉴定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30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场次，参与人数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103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3人次，其中5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82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人获得相应的技能等级证书，造就了大批工匠型技能人才，助推经济高质量发展。</w:t>
      </w:r>
    </w:p>
    <w:bookmarkEnd w:id="0"/>
    <w:bookmarkEnd w:id="5"/>
    <w:bookmarkEnd w:id="6"/>
    <w:bookmarkEnd w:id="7"/>
    <w:bookmarkEnd w:id="8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二、问题与对策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1.产教融合基地项目，在校企共同运营机制与模式创新、基于实训基地的教学改革和课程体系建构上缺少可借鉴的经验，更深层次的项目成果还需不断探索、充分提炼与推广。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2.校园文化建设初显成效，在专业建设、育人活动等方面需进一步渗透，校园环境与文化氛围的改造提升仍需加强。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3.社会服务工作开局不错，后续如何建立起能够与市场需求变化相适应的服务体系，满足市场导向机制下社会服务需要，是需要研究和解决的问题。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（二）改进措施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1.争取更多政策支持，开展职业教学改革深水区探索，推进产教融合向纵深发展，不断扩大校企合作的力度、广度、深度。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2.校园文化建设按计划推进，争取区级财政专项资金支持，进一步优化专业人才培养方案与“三全育人”思路，将校园特色文化与职业育人深度融合。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3.完善和优化社会服务模式，开发更多服务项目，联合相关职能机构，争取更多培训资源，促进民生工程深入开展。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</w:p>
    <w:bookmarkEnd w:id="19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 w:firstLineChars="196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 w:firstLineChars="196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第二部分  2024年工作计划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textAlignment w:val="auto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4年是西湖职高建校40周年，学校工作将以《中华人民共和国职业教育法》为基准，按照《关于深化现代职业教育体系建设改革的意见》《职业教育产教融合赋能提升行动实施方案（2023—2025 年）》等文件精神，在浙江省高水平学校和高水平专业建设的基础上，完善体系，强化类型，继续夯实基础，规范管理，破圈引领，稳步推进学校整体发展。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党建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引领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482" w:firstLineChars="200"/>
        <w:textAlignment w:val="auto"/>
        <w:rPr>
          <w:rFonts w:hint="eastAsia" w:ascii="仿宋" w:hAnsi="仿宋" w:eastAsia="仿宋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以党建领航，把握职业教育时代大势。</w:t>
      </w:r>
      <w:r>
        <w:rPr>
          <w:rFonts w:hint="eastAsia" w:ascii="仿宋" w:hAnsi="仿宋" w:eastAsia="仿宋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贯彻落实党总支领导下的校长负责制，发挥党总支把方向、谋大局、作决策、抓班子、带队伍、保落实的作用。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482" w:firstLineChars="200"/>
        <w:textAlignment w:val="auto"/>
        <w:rPr>
          <w:rFonts w:hint="eastAsia" w:ascii="仿宋" w:hAnsi="仿宋" w:eastAsia="仿宋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theme="minorBidi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以党建铸魂，践行职业教育崇高使命</w:t>
      </w:r>
      <w:r>
        <w:rPr>
          <w:rFonts w:hint="eastAsia" w:ascii="仿宋" w:hAnsi="仿宋" w:eastAsia="仿宋" w:cstheme="minorBidi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抓好立德树人根本任务，厚植师德师风。以构建“大党建”工作格局为抓手，推动学校宣传思想工作开创新局面，引导师生怀抱梦想又脚踏实地，敢想敢为又善作善成，助力师生坚定理想信念、增强时代责任、磨炼意志品质、提高能力本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482" w:firstLineChars="200"/>
        <w:textAlignment w:val="auto"/>
        <w:rPr>
          <w:rFonts w:hint="default" w:ascii="仿宋" w:hAnsi="仿宋" w:eastAsia="仿宋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theme="minorBidi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以党建赋能，实现高质量发展战略目标</w:t>
      </w:r>
      <w:r>
        <w:rPr>
          <w:rFonts w:hint="eastAsia" w:ascii="仿宋" w:hAnsi="仿宋" w:eastAsia="仿宋" w:cstheme="minorBidi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以“双高”建设为牵引，深入推动校部两级管理、干部人事制度管理、内部控制管理、内部审计管理机制建设；以问题为导向，建立健全内控机制和考核体系，提高学校治理水平。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三、工作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1.打造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技术技能人才培养高地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依托高校导师、行业专家，适时调整、科学定位人才培养目标与规格。构建以培养全面发展的高素质技术技能人才为目标的课程框架，实现职业素养成系统、基础知识成系统、职业能力成系统，教学管理成平台，形成“三系统一平台”的课程体系。以毕业生就业质量以及政府、高校、企业、学生、社会等主体的质量评价为切入点，持续深化产教融合、校企合作，着力高技能人才质量标准的岗位专业能力、岗位迁移能力和可持续发展能力，工学结合培养高素质复合型技术技能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2.建设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技术技能创新服务平台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梳理现有基础设施、研发项目的基础上，面向产业和区域发展需求，通过整合高校、行业协会、骨干企业等优势单位资源，构建技术技能创新服务平台。瞄准产业转型升级需求，以产教融合中心为载体，优化资源配置，促进研究成果的孵化、转化和推广，实现以人才培养与技术创新，服务企业技术研发和产品升级、服务重点行业和支柱产业发展、服务区域发展和产业转型升级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241" w:firstLineChars="100"/>
        <w:textAlignment w:val="auto"/>
        <w:rPr>
          <w:rFonts w:hint="eastAsia" w:ascii="仿宋" w:hAnsi="仿宋" w:eastAsia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lang w:eastAsia="zh-CN"/>
        </w:rPr>
        <w:t>（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24"/>
          <w:lang w:eastAsia="zh-CN"/>
        </w:rPr>
        <w:t>）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完善</w:t>
      </w:r>
      <w:r>
        <w:rPr>
          <w:rFonts w:hint="eastAsia" w:ascii="仿宋" w:hAnsi="仿宋" w:eastAsia="仿宋"/>
          <w:b/>
          <w:bCs/>
          <w:sz w:val="24"/>
        </w:rPr>
        <w:t>学校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现代化</w:t>
      </w:r>
      <w:r>
        <w:rPr>
          <w:rFonts w:hint="eastAsia" w:ascii="仿宋" w:hAnsi="仿宋" w:eastAsia="仿宋"/>
          <w:b/>
          <w:bCs/>
          <w:sz w:val="24"/>
        </w:rPr>
        <w:t>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/>
          <w:sz w:val="24"/>
          <w:lang w:eastAsia="zh-CN"/>
        </w:rPr>
      </w:pPr>
      <w:bookmarkStart w:id="14" w:name="_Toc69895302"/>
      <w:r>
        <w:rPr>
          <w:rFonts w:hint="eastAsia" w:ascii="仿宋" w:hAnsi="仿宋" w:eastAsia="仿宋"/>
          <w:sz w:val="24"/>
          <w:lang w:val="en-US" w:eastAsia="zh-CN"/>
        </w:rPr>
        <w:t>1.</w:t>
      </w:r>
      <w:r>
        <w:rPr>
          <w:rFonts w:hint="eastAsia" w:ascii="仿宋" w:hAnsi="仿宋" w:eastAsia="仿宋"/>
          <w:sz w:val="24"/>
        </w:rPr>
        <w:t>聘请校外专家建立专业建设委员会、“种子教师”培养专家团等，充分发挥专家、学者在办学治校中的指导、咨询、决策作用。企业参与，深化治理新模式。</w:t>
      </w:r>
      <w:r>
        <w:rPr>
          <w:rFonts w:hint="eastAsia" w:ascii="仿宋" w:hAnsi="仿宋" w:eastAsia="仿宋"/>
          <w:sz w:val="24"/>
          <w:lang w:val="en-US" w:eastAsia="zh-CN"/>
        </w:rPr>
        <w:t>强化</w:t>
      </w:r>
      <w:r>
        <w:rPr>
          <w:rFonts w:hint="eastAsia" w:ascii="仿宋" w:hAnsi="仿宋" w:eastAsia="仿宋"/>
          <w:sz w:val="24"/>
        </w:rPr>
        <w:t>社会监督，健全第三方人才培养质量评价制度，促进学校专业设置、人才培养、队伍建设、教学质量、学生管理、服务区域经济发展和企业创新等质量保证的关键环节、关键领域的改革与提升。</w:t>
      </w:r>
      <w:r>
        <w:rPr>
          <w:rFonts w:hint="eastAsia" w:ascii="仿宋" w:hAnsi="仿宋" w:eastAsia="仿宋"/>
          <w:sz w:val="24"/>
          <w:lang w:val="en-US" w:eastAsia="zh-CN"/>
        </w:rPr>
        <w:t>提升</w:t>
      </w:r>
      <w:r>
        <w:rPr>
          <w:rFonts w:hint="eastAsia" w:ascii="仿宋" w:hAnsi="仿宋" w:eastAsia="仿宋"/>
          <w:sz w:val="24"/>
        </w:rPr>
        <w:t>家校共育体系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</w:rPr>
        <w:t>完善家校联动体系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2.推进科教融汇的</w:t>
      </w:r>
      <w:r>
        <w:rPr>
          <w:rFonts w:hint="eastAsia" w:ascii="仿宋" w:hAnsi="仿宋" w:eastAsia="仿宋"/>
          <w:sz w:val="24"/>
        </w:rPr>
        <w:t>效能评价体系，以科研促管理，以科研促发展，提高办学水平和效益。完善学校钉钉政务平台和之江汇平台信息系统互联和公共数据共享，实现教育治理全要素、全流程、全业务、全领域的数字化转型；</w:t>
      </w:r>
      <w:r>
        <w:rPr>
          <w:rFonts w:hint="eastAsia" w:ascii="仿宋" w:hAnsi="仿宋" w:eastAsia="仿宋"/>
          <w:sz w:val="24"/>
          <w:lang w:val="en-US" w:eastAsia="zh-CN"/>
        </w:rPr>
        <w:t>进一步</w:t>
      </w:r>
      <w:r>
        <w:rPr>
          <w:rFonts w:hint="eastAsia" w:ascii="仿宋" w:hAnsi="仿宋" w:eastAsia="仿宋"/>
          <w:sz w:val="24"/>
        </w:rPr>
        <w:t>使用“启迪”校园数字平台，打造数据融合融通的智慧育人服务体系；充分发挥教育大数据效能，实现“数据代言”，打造精准科学的治理新模式，为学校治理体系和治理能力现代化提供有力支撑。</w:t>
      </w:r>
    </w:p>
    <w:bookmarkEnd w:id="1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（二）建设标杆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高水平专业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1.</w:t>
      </w:r>
      <w:r>
        <w:rPr>
          <w:rFonts w:hint="eastAsia" w:ascii="仿宋" w:hAnsi="仿宋" w:eastAsia="仿宋"/>
          <w:sz w:val="24"/>
        </w:rPr>
        <w:t>以“三教”改革为突破口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</w:rPr>
        <w:t>基于行业的新业态、新知识、新技术、新规范，</w:t>
      </w:r>
      <w:r>
        <w:rPr>
          <w:rFonts w:hint="eastAsia" w:ascii="仿宋" w:hAnsi="仿宋" w:eastAsia="仿宋"/>
          <w:sz w:val="24"/>
          <w:lang w:val="en-US" w:eastAsia="zh-CN"/>
        </w:rPr>
        <w:t>落实</w:t>
      </w:r>
      <w:r>
        <w:rPr>
          <w:rFonts w:hint="eastAsia" w:ascii="仿宋" w:hAnsi="仿宋" w:eastAsia="仿宋"/>
          <w:sz w:val="24"/>
        </w:rPr>
        <w:t>专业动态调整</w:t>
      </w:r>
      <w:r>
        <w:rPr>
          <w:rFonts w:hint="eastAsia" w:ascii="仿宋" w:hAnsi="仿宋" w:eastAsia="仿宋"/>
          <w:sz w:val="24"/>
          <w:lang w:val="en-US" w:eastAsia="zh-CN"/>
        </w:rPr>
        <w:t>机制，构建</w:t>
      </w:r>
      <w:r>
        <w:rPr>
          <w:rFonts w:hint="eastAsia" w:ascii="仿宋" w:hAnsi="仿宋" w:eastAsia="仿宋"/>
          <w:sz w:val="24"/>
        </w:rPr>
        <w:t>专业、岗位、项目协同</w:t>
      </w:r>
      <w:r>
        <w:rPr>
          <w:rFonts w:hint="eastAsia" w:ascii="仿宋" w:hAnsi="仿宋" w:eastAsia="仿宋"/>
          <w:sz w:val="24"/>
          <w:lang w:val="en-US" w:eastAsia="zh-CN"/>
        </w:rPr>
        <w:t>的</w:t>
      </w:r>
      <w:r>
        <w:rPr>
          <w:rFonts w:hint="eastAsia" w:ascii="仿宋" w:hAnsi="仿宋" w:eastAsia="仿宋"/>
          <w:sz w:val="24"/>
        </w:rPr>
        <w:t>专业课程体系</w:t>
      </w:r>
      <w:r>
        <w:rPr>
          <w:rFonts w:hint="eastAsia" w:ascii="仿宋" w:hAnsi="仿宋" w:eastAsia="仿宋"/>
          <w:sz w:val="24"/>
          <w:lang w:eastAsia="zh-CN"/>
        </w:rPr>
        <w:t>。</w:t>
      </w:r>
      <w:r>
        <w:rPr>
          <w:rFonts w:hint="eastAsia" w:ascii="仿宋" w:hAnsi="仿宋" w:eastAsia="仿宋"/>
          <w:sz w:val="24"/>
          <w:lang w:val="en-US" w:eastAsia="zh-CN"/>
        </w:rPr>
        <w:t>紧跟浙江省中高职一体化课程改革，突出核心课程，开发新课程，建设适配进阶的课程体系和动态融合的教学资源库。</w:t>
      </w:r>
      <w:bookmarkStart w:id="15" w:name="_Toc698953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2.</w:t>
      </w:r>
      <w:r>
        <w:rPr>
          <w:rFonts w:hint="eastAsia" w:ascii="仿宋" w:hAnsi="仿宋" w:eastAsia="仿宋"/>
          <w:sz w:val="24"/>
        </w:rPr>
        <w:t>完善中高职一体化课程改革和课程体系</w:t>
      </w:r>
      <w:bookmarkEnd w:id="15"/>
      <w:r>
        <w:rPr>
          <w:rFonts w:hint="eastAsia" w:ascii="仿宋" w:hAnsi="仿宋" w:eastAsia="仿宋"/>
          <w:sz w:val="24"/>
        </w:rPr>
        <w:t>。积极推进中高职一体化“五年制”人才培养课程结构建设，形成中高职优势互补、衔接贯通培养的课程体系。积极推进1+X证书制度，完善技能竞赛相关制度，实现以大赛促进教学、以大赛促进课改。强化公共基础课和专业课实践教学，推行多种实训形式，形成对接紧密、特色鲜明、动态调整、职业精神与职业技能培养高度融合的人才培养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/>
          <w:sz w:val="24"/>
          <w:lang w:eastAsia="zh-CN"/>
        </w:rPr>
      </w:pPr>
      <w:bookmarkStart w:id="16" w:name="_Toc69895311"/>
      <w:r>
        <w:rPr>
          <w:rFonts w:hint="eastAsia" w:ascii="仿宋" w:hAnsi="仿宋" w:eastAsia="仿宋"/>
          <w:sz w:val="24"/>
          <w:lang w:val="en-US" w:eastAsia="zh-CN"/>
        </w:rPr>
        <w:t>3.</w:t>
      </w:r>
      <w:bookmarkEnd w:id="16"/>
      <w:bookmarkStart w:id="17" w:name="_Toc67641048"/>
      <w:bookmarkStart w:id="18" w:name="_Toc69895312"/>
      <w:r>
        <w:rPr>
          <w:rFonts w:hint="eastAsia" w:ascii="仿宋" w:hAnsi="仿宋" w:eastAsia="仿宋"/>
          <w:sz w:val="24"/>
          <w:lang w:val="en-US" w:eastAsia="zh-CN"/>
        </w:rPr>
        <w:t>推进建设</w:t>
      </w:r>
      <w:r>
        <w:rPr>
          <w:rFonts w:hint="eastAsia" w:ascii="仿宋" w:hAnsi="仿宋" w:eastAsia="仿宋"/>
          <w:sz w:val="24"/>
        </w:rPr>
        <w:t>“智”教“慧”学融创课堂，深化教育教学改革</w:t>
      </w:r>
      <w:r>
        <w:rPr>
          <w:rFonts w:hint="eastAsia" w:ascii="仿宋" w:hAnsi="仿宋" w:eastAsia="仿宋"/>
          <w:sz w:val="24"/>
          <w:lang w:eastAsia="zh-CN"/>
        </w:rPr>
        <w:t>。以信息技术应用为载体，</w:t>
      </w:r>
      <w:r>
        <w:rPr>
          <w:rFonts w:hint="eastAsia" w:ascii="仿宋" w:hAnsi="仿宋" w:eastAsia="仿宋"/>
          <w:sz w:val="24"/>
          <w:lang w:val="en-US" w:eastAsia="zh-CN"/>
        </w:rPr>
        <w:t>进一步</w:t>
      </w:r>
      <w:r>
        <w:rPr>
          <w:rFonts w:hint="eastAsia" w:ascii="仿宋" w:hAnsi="仿宋" w:eastAsia="仿宋"/>
          <w:sz w:val="24"/>
          <w:lang w:eastAsia="zh-CN"/>
        </w:rPr>
        <w:t>提升全体教师的信息化应用能力，助推教师采用信息手段进行教学设计、课堂教学、学情分析、课后辅导、学生评价等，打造</w:t>
      </w:r>
      <w:r>
        <w:rPr>
          <w:rFonts w:hint="eastAsia" w:ascii="仿宋" w:hAnsi="仿宋" w:eastAsia="仿宋"/>
          <w:sz w:val="24"/>
          <w:lang w:val="en-US" w:eastAsia="zh-CN"/>
        </w:rPr>
        <w:t>市级</w:t>
      </w:r>
      <w:r>
        <w:rPr>
          <w:rFonts w:hint="eastAsia" w:ascii="仿宋" w:hAnsi="仿宋" w:eastAsia="仿宋"/>
          <w:sz w:val="24"/>
          <w:lang w:eastAsia="zh-CN"/>
        </w:rPr>
        <w:t>信息化教学应用团队；通过集中培训和特色分组培训相结合的方法，采用独立研修、分组研究、校本研修等手段，分组分批逐步推进，实现管理团队信息化领导力提升和教师整体信息化教学能力提升，全面实现教育信息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4.</w:t>
      </w:r>
      <w:r>
        <w:rPr>
          <w:rFonts w:hint="eastAsia" w:ascii="仿宋" w:hAnsi="仿宋" w:eastAsia="仿宋"/>
          <w:sz w:val="24"/>
        </w:rPr>
        <w:t>推进“三结合”的沉浸式工作情境教学法改革</w:t>
      </w:r>
      <w:bookmarkEnd w:id="17"/>
      <w:bookmarkEnd w:id="18"/>
      <w:r>
        <w:rPr>
          <w:rFonts w:hint="eastAsia" w:ascii="仿宋" w:hAnsi="仿宋" w:eastAsia="仿宋"/>
          <w:sz w:val="24"/>
        </w:rPr>
        <w:t>。基于校内产教融合基地和创业园，按照产教融合的“三个对接”——专业设置与产业需求对接、课程内容与职业标准对接、教学过程与生产过程对接，结合省旅游高技能人才培养基地建设，借力校企合作与乡村微经济体资源，将生产实训嵌入教学，将业务承接对接教学，将研、创项目融入教学，探索“产教融合、校企共育”的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（三）打造高水平师资队伍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1.发挥大师、名师、名团队和行业领军人才支点效应，撬动教师队伍建设水平实现新跨越，为学校发展奠定骨干人才支撑。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推动“种子教师”团队的培养工作，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着重</w:t>
      </w:r>
      <w:r>
        <w:rPr>
          <w:rFonts w:hint="eastAsia" w:ascii="仿宋" w:hAnsi="仿宋" w:eastAsia="仿宋" w:cs="仿宋"/>
          <w:sz w:val="24"/>
          <w:szCs w:val="24"/>
        </w:rPr>
        <w:t>以教育教学研究、成果培育撰写等方式，全面推进“种子教师”在不同领域的成长。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以“相彰”工作室为圆心，推进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省级邵雪香名班主任工作室和章彩淼成长导师工作室</w:t>
      </w:r>
      <w:r>
        <w:rPr>
          <w:rFonts w:hint="eastAsia" w:ascii="仿宋" w:hAnsi="仿宋" w:eastAsia="仿宋" w:cs="仿宋"/>
          <w:sz w:val="24"/>
          <w:szCs w:val="24"/>
        </w:rPr>
        <w:t>团队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迭代</w:t>
      </w:r>
      <w:r>
        <w:rPr>
          <w:rFonts w:hint="eastAsia" w:ascii="仿宋" w:hAnsi="仿宋" w:eastAsia="仿宋" w:cs="仿宋"/>
          <w:sz w:val="24"/>
          <w:szCs w:val="24"/>
        </w:rPr>
        <w:t>升级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推动班主任团队</w:t>
      </w:r>
      <w:r>
        <w:rPr>
          <w:rFonts w:hint="eastAsia" w:ascii="仿宋" w:hAnsi="仿宋" w:eastAsia="仿宋" w:cs="仿宋"/>
          <w:sz w:val="24"/>
          <w:szCs w:val="24"/>
        </w:rPr>
        <w:t>阶梯化成长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</w:rPr>
        <w:t>设计校企师资双向流动工作机制，依托校企共同体，设置师资双向流动基站，打造“身份互认、角色互换”的双师队伍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以社会培训、企业实践、校企课程为杠杆，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推进</w:t>
      </w:r>
      <w:r>
        <w:rPr>
          <w:rFonts w:hint="eastAsia" w:ascii="仿宋" w:hAnsi="仿宋" w:eastAsia="仿宋" w:cs="仿宋"/>
          <w:sz w:val="24"/>
          <w:szCs w:val="24"/>
        </w:rPr>
        <w:t>“双师型”队伍建设。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82" w:firstLineChars="200"/>
        <w:textAlignment w:val="auto"/>
        <w:rPr>
          <w:rFonts w:hint="default" w:ascii="仿宋" w:hAnsi="仿宋" w:eastAsia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（四）提升人才培养质量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1.推进中职特色“三全”育人，实现全员全过程全方位育人。重点打造思政教育新模式，形成适合中职学生学情、延伸理论课堂时空、“线下教育”与“线上教育”相互作用、“传递价值”与“交流思想”相辅相成的立体式思政教育创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2.创新多元融合学习培训体系，继续探索长学制人才培养模式。重点推进跨专业融合，探索面向整个产业链的协同育人模式。立足浙江省产教融合“五个一批”工程项目，面对各专业向现代服务业数字化渗透，建成旅游产品、土特产、地方特色民宿推广等人才培养基地，将人力、智力、技术、资源、管理等要素整合到一个平台上，探索“共享共建、协同育人”的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（五）提升社会服务水平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1.以提供优质社会服务为己任，立足区域经济发展，继续拓展社会培训辐射面与受益面，以提升社会服务效益为着力点，以服务乡村振兴为突破口，以职普融通、校企合作为契机，打造社会服务体系的新格局，全面提升学校社会服务功能，增强学校的辐射、引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80" w:firstLineChars="200"/>
        <w:textAlignment w:val="auto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2.配合各专业结构调整需求进一步优化合作企业，做好企业人才需求和学校培养需求的对接工作，形成和凸显各专业的校企合作特色和优势。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（六）提升后勤保障服务水平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围绕“茶韵文化”特色，以突显校园文化“暖心”功能为目标，完成兼具服务性、多元化、绿色环保、文化传承、社交互动等功能的校园物质文化改建工程；启动学校综合大楼建设项目，科学定位大楼功能性空间，在提升整体校园氛围的同时高质量服务现代化教育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进一步善用、巧用“天下粮仓”“众食安”等平台，借助现代化手段完善食堂管理。进一步加强食品安全，提升食堂工作效益。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完善固定资产建立、采购、入档、报废等闭环流程，有效保证资产完善的同时，确保物尽其用。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完善经费预、支付、归档等过程性控制，提升经费使用绩效，增强防风险意识。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（七）提升数字信息化水平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进一步实施</w:t>
      </w:r>
      <w:r>
        <w:rPr>
          <w:rFonts w:hint="eastAsia" w:ascii="仿宋" w:hAnsi="仿宋" w:eastAsia="仿宋" w:cs="仿宋"/>
          <w:sz w:val="24"/>
          <w:szCs w:val="24"/>
        </w:rPr>
        <w:t>智能化改造，打造线上线下联通、课内课外衔接、实体课堂虚拟课堂相互支持的教学实训环境；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完善</w:t>
      </w:r>
      <w:r>
        <w:rPr>
          <w:rFonts w:hint="eastAsia" w:ascii="仿宋" w:hAnsi="仿宋" w:eastAsia="仿宋" w:cs="仿宋"/>
          <w:sz w:val="24"/>
          <w:szCs w:val="24"/>
        </w:rPr>
        <w:t>校本教育教学一体化平台，促进教学全员、全过程、全方位信息化“三全管理”落地生根，实现“教学管理信息化、教学资源信息化、教学手段信息化、学生学习信息化”，形成“资源可追溯、过程可跟踪、结果可评价”的教学质量保障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（八）提升国际化水平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充分发挥学校自身优势，积极开展国际交流与合作，在原有友好学校的基础上，进一步引进资源，注重借鉴国外职业学校先进的教育理念、管理方法，不断拓展国际化办学渠道，探索多种形式的合作交流方式，助力教学质量的提升，培养国际化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杭州市西湖职业高级中学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MzJjZGNmOTJhNGM0ZDk3NmJiZDRhOGMxNDM0N2MifQ=="/>
  </w:docVars>
  <w:rsids>
    <w:rsidRoot w:val="0060071C"/>
    <w:rsid w:val="00007B29"/>
    <w:rsid w:val="000349BB"/>
    <w:rsid w:val="000674B0"/>
    <w:rsid w:val="00067B38"/>
    <w:rsid w:val="000C40A2"/>
    <w:rsid w:val="000D14A8"/>
    <w:rsid w:val="000E309C"/>
    <w:rsid w:val="000F2A53"/>
    <w:rsid w:val="00162C54"/>
    <w:rsid w:val="00172EC4"/>
    <w:rsid w:val="001C09ED"/>
    <w:rsid w:val="001C1895"/>
    <w:rsid w:val="001C5763"/>
    <w:rsid w:val="001E35FC"/>
    <w:rsid w:val="001F0BE1"/>
    <w:rsid w:val="001F3FAE"/>
    <w:rsid w:val="002B44E9"/>
    <w:rsid w:val="002D2B7F"/>
    <w:rsid w:val="002F2B60"/>
    <w:rsid w:val="00302F82"/>
    <w:rsid w:val="00324786"/>
    <w:rsid w:val="00332636"/>
    <w:rsid w:val="0035164F"/>
    <w:rsid w:val="00360D29"/>
    <w:rsid w:val="00374314"/>
    <w:rsid w:val="003C5232"/>
    <w:rsid w:val="00430E56"/>
    <w:rsid w:val="00450B04"/>
    <w:rsid w:val="00463026"/>
    <w:rsid w:val="00474E8B"/>
    <w:rsid w:val="00486100"/>
    <w:rsid w:val="004930AC"/>
    <w:rsid w:val="004A2AE9"/>
    <w:rsid w:val="004C235C"/>
    <w:rsid w:val="004D2AB3"/>
    <w:rsid w:val="004F2CFB"/>
    <w:rsid w:val="00501528"/>
    <w:rsid w:val="00592AEA"/>
    <w:rsid w:val="005A37DE"/>
    <w:rsid w:val="005F0BA0"/>
    <w:rsid w:val="005F7C11"/>
    <w:rsid w:val="0060071C"/>
    <w:rsid w:val="00673096"/>
    <w:rsid w:val="00675A9C"/>
    <w:rsid w:val="006C0A0B"/>
    <w:rsid w:val="006C40C5"/>
    <w:rsid w:val="0072144D"/>
    <w:rsid w:val="00734E23"/>
    <w:rsid w:val="007760D9"/>
    <w:rsid w:val="007F01E6"/>
    <w:rsid w:val="00851597"/>
    <w:rsid w:val="00855A21"/>
    <w:rsid w:val="0086119D"/>
    <w:rsid w:val="0089068D"/>
    <w:rsid w:val="00906BC3"/>
    <w:rsid w:val="0091033C"/>
    <w:rsid w:val="00927072"/>
    <w:rsid w:val="00951345"/>
    <w:rsid w:val="0095268B"/>
    <w:rsid w:val="009615C1"/>
    <w:rsid w:val="00981143"/>
    <w:rsid w:val="009B5491"/>
    <w:rsid w:val="009C6218"/>
    <w:rsid w:val="009E6C48"/>
    <w:rsid w:val="00A01589"/>
    <w:rsid w:val="00A13361"/>
    <w:rsid w:val="00A24D07"/>
    <w:rsid w:val="00A337C2"/>
    <w:rsid w:val="00A709DE"/>
    <w:rsid w:val="00A85E71"/>
    <w:rsid w:val="00A930B8"/>
    <w:rsid w:val="00A96F2A"/>
    <w:rsid w:val="00AD75A3"/>
    <w:rsid w:val="00AF1A07"/>
    <w:rsid w:val="00B45BE6"/>
    <w:rsid w:val="00B5727C"/>
    <w:rsid w:val="00B943F0"/>
    <w:rsid w:val="00BA2700"/>
    <w:rsid w:val="00BA4062"/>
    <w:rsid w:val="00BC65A5"/>
    <w:rsid w:val="00C312D7"/>
    <w:rsid w:val="00C8343B"/>
    <w:rsid w:val="00CB1595"/>
    <w:rsid w:val="00CC71C4"/>
    <w:rsid w:val="00D1688F"/>
    <w:rsid w:val="00D82C6D"/>
    <w:rsid w:val="00DA2726"/>
    <w:rsid w:val="00DE2E5A"/>
    <w:rsid w:val="00E20F6B"/>
    <w:rsid w:val="00E220FC"/>
    <w:rsid w:val="00E55ED3"/>
    <w:rsid w:val="00E82D74"/>
    <w:rsid w:val="00E8520B"/>
    <w:rsid w:val="00EB4662"/>
    <w:rsid w:val="00EC0CF7"/>
    <w:rsid w:val="00F232BA"/>
    <w:rsid w:val="00F41EE1"/>
    <w:rsid w:val="00F50DB0"/>
    <w:rsid w:val="00F876CF"/>
    <w:rsid w:val="00FB2DB1"/>
    <w:rsid w:val="00FB554E"/>
    <w:rsid w:val="00FB7BAD"/>
    <w:rsid w:val="00FE1234"/>
    <w:rsid w:val="02534697"/>
    <w:rsid w:val="139F439A"/>
    <w:rsid w:val="1A0C2544"/>
    <w:rsid w:val="1E19105C"/>
    <w:rsid w:val="1F271888"/>
    <w:rsid w:val="1FFF1413"/>
    <w:rsid w:val="21444C6A"/>
    <w:rsid w:val="284B19FA"/>
    <w:rsid w:val="294C47DA"/>
    <w:rsid w:val="298A7DAF"/>
    <w:rsid w:val="29AD2665"/>
    <w:rsid w:val="31791221"/>
    <w:rsid w:val="31D80714"/>
    <w:rsid w:val="38571B5E"/>
    <w:rsid w:val="3CC80857"/>
    <w:rsid w:val="3F5E4D2A"/>
    <w:rsid w:val="41D76E6C"/>
    <w:rsid w:val="44D8532E"/>
    <w:rsid w:val="58366D88"/>
    <w:rsid w:val="5F7032F0"/>
    <w:rsid w:val="60C312E9"/>
    <w:rsid w:val="66A82301"/>
    <w:rsid w:val="785557B8"/>
    <w:rsid w:val="7A9D6AC7"/>
    <w:rsid w:val="D37D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heading 3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7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20"/>
    </w:rPr>
  </w:style>
  <w:style w:type="paragraph" w:styleId="8">
    <w:name w:val="Plain Text"/>
    <w:basedOn w:val="1"/>
    <w:link w:val="22"/>
    <w:qFormat/>
    <w:uiPriority w:val="0"/>
    <w:rPr>
      <w:rFonts w:ascii="宋体" w:hAnsi="Courier New" w:eastAsia="宋体" w:cs="Courier New"/>
      <w:szCs w:val="21"/>
    </w:r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4">
    <w:name w:val="Table Grid"/>
    <w:basedOn w:val="13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17">
    <w:name w:val="页脚 字符"/>
    <w:basedOn w:val="15"/>
    <w:link w:val="10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1 字符"/>
    <w:basedOn w:val="15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15"/>
    <w:link w:val="5"/>
    <w:semiHidden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字符"/>
    <w:basedOn w:val="15"/>
    <w:link w:val="6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2">
    <w:name w:val="纯文本 字符"/>
    <w:basedOn w:val="15"/>
    <w:link w:val="8"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批注框文本 字符"/>
    <w:basedOn w:val="15"/>
    <w:link w:val="9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392</Words>
  <Characters>2237</Characters>
  <Lines>18</Lines>
  <Paragraphs>5</Paragraphs>
  <TotalTime>1</TotalTime>
  <ScaleCrop>false</ScaleCrop>
  <LinksUpToDate>false</LinksUpToDate>
  <CharactersWithSpaces>2624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2019-12-17T08:29:00Z</dcterms:created>
  <dc:creator>Windows User</dc:creator>
  <cp:lastModifiedBy>妞妈</cp:lastModifiedBy>
  <cp:lastPrinted>2020-09-04T09:46:00Z</cp:lastPrinted>
  <dcterms:modified xsi:type="dcterms:W3CDTF">2023-12-25T08:05:11Z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7668D51CCAA144C39E684FD1D4827476</vt:lpwstr>
  </property>
</Properties>
</file>