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杭州市文三教育集团202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atLeast"/>
        <w:ind w:right="0" w:rightChars="0"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2023年是贯彻党的二十大精神开局之年，也是杭州亚运会、亚残运会举办之年。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在区教育局党委的领导下，集团</w:t>
      </w:r>
      <w:r>
        <w:rPr>
          <w:rFonts w:hint="eastAsia" w:ascii="仿宋" w:hAnsi="仿宋" w:eastAsia="仿宋" w:cs="仿宋"/>
          <w:sz w:val="24"/>
          <w:szCs w:val="24"/>
        </w:rPr>
        <w:t>围绕“共同富裕背景下高质量全域优质”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教育目标，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深化课堂教学实践改革，致力探究跨学科融合新视野，促进教师专业发展，致力于</w:t>
      </w:r>
      <w:r>
        <w:rPr>
          <w:rFonts w:hint="eastAsia" w:ascii="仿宋" w:hAnsi="仿宋" w:eastAsia="仿宋" w:cs="仿宋"/>
          <w:sz w:val="24"/>
          <w:szCs w:val="24"/>
        </w:rPr>
        <w:t>培养个性良好全面发展的文三学子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atLeas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一、主要成绩与经验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atLeast"/>
        <w:ind w:firstLine="482" w:firstLineChars="200"/>
        <w:jc w:val="left"/>
        <w:textAlignment w:val="auto"/>
        <w:rPr>
          <w:rFonts w:hint="eastAsia" w:ascii="仿宋" w:hAnsi="仿宋" w:eastAsia="仿宋" w:cs="仿宋"/>
          <w:kern w:val="28"/>
          <w:sz w:val="24"/>
          <w:highlight w:val="whit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（一）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坚持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党建为先，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政治保障促进发展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kern w:val="28"/>
          <w:sz w:val="24"/>
          <w:highlight w:val="white"/>
        </w:rPr>
        <w:t>一是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配齐配强班子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，从严履行党建主体责任。</w:t>
      </w:r>
      <w:r>
        <w:rPr>
          <w:rFonts w:hint="eastAsia" w:ascii="仿宋" w:hAnsi="仿宋" w:eastAsia="仿宋" w:cs="仿宋"/>
          <w:kern w:val="28"/>
          <w:sz w:val="24"/>
          <w:highlight w:val="white"/>
        </w:rPr>
        <w:t>202</w:t>
      </w:r>
      <w:r>
        <w:rPr>
          <w:rFonts w:hint="default" w:ascii="仿宋" w:hAnsi="仿宋" w:eastAsia="仿宋" w:cs="仿宋"/>
          <w:kern w:val="28"/>
          <w:sz w:val="24"/>
          <w:highlight w:val="white"/>
          <w:lang w:val="en-US"/>
        </w:rPr>
        <w:t>3</w:t>
      </w:r>
      <w:r>
        <w:rPr>
          <w:rFonts w:hint="eastAsia" w:ascii="仿宋" w:hAnsi="仿宋" w:eastAsia="仿宋" w:cs="仿宋"/>
          <w:kern w:val="28"/>
          <w:sz w:val="24"/>
          <w:highlight w:val="white"/>
        </w:rPr>
        <w:t>下半年总支增补</w:t>
      </w:r>
      <w:r>
        <w:rPr>
          <w:rFonts w:hint="eastAsia" w:ascii="仿宋" w:hAnsi="仿宋" w:eastAsia="仿宋" w:cs="仿宋"/>
          <w:kern w:val="28"/>
          <w:sz w:val="24"/>
          <w:highlight w:val="white"/>
          <w:lang w:val="en-US" w:eastAsia="zh-CN"/>
        </w:rPr>
        <w:t>王巧英、刘欢欢</w:t>
      </w:r>
      <w:r>
        <w:rPr>
          <w:rFonts w:hint="eastAsia" w:ascii="仿宋" w:hAnsi="仿宋" w:eastAsia="仿宋" w:cs="仿宋"/>
          <w:kern w:val="28"/>
          <w:sz w:val="24"/>
          <w:highlight w:val="white"/>
        </w:rPr>
        <w:t>两位同志担任集团党总支委员，对集团党总支委员重新进行了分工调整</w:t>
      </w:r>
      <w:r>
        <w:rPr>
          <w:rFonts w:hint="eastAsia" w:ascii="仿宋" w:hAnsi="仿宋" w:eastAsia="仿宋" w:cs="仿宋"/>
          <w:kern w:val="28"/>
          <w:sz w:val="24"/>
          <w:highlight w:val="white"/>
          <w:lang w:eastAsia="zh-CN"/>
        </w:rPr>
        <w:t>，</w:t>
      </w:r>
      <w:r>
        <w:rPr>
          <w:rFonts w:hint="eastAsia" w:ascii="仿宋" w:hAnsi="仿宋" w:eastAsia="仿宋" w:cs="仿宋"/>
          <w:kern w:val="28"/>
          <w:sz w:val="24"/>
          <w:highlight w:val="white"/>
        </w:rPr>
        <w:t>支部工作稳步开展。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二是坚定不移，严格执行党风廉政责任制。</w:t>
      </w:r>
      <w:r>
        <w:rPr>
          <w:rFonts w:hint="eastAsia" w:ascii="仿宋" w:hAnsi="仿宋" w:eastAsia="仿宋" w:cs="仿宋"/>
          <w:kern w:val="28"/>
          <w:sz w:val="24"/>
          <w:highlight w:val="white"/>
        </w:rPr>
        <w:t>把党风廉政建设工作融入日常管理和教育教学工作中</w:t>
      </w:r>
      <w:r>
        <w:rPr>
          <w:rFonts w:hint="eastAsia" w:ascii="仿宋" w:hAnsi="仿宋" w:eastAsia="仿宋" w:cs="仿宋"/>
          <w:kern w:val="28"/>
          <w:sz w:val="24"/>
          <w:highlight w:val="white"/>
          <w:lang w:eastAsia="zh-CN"/>
        </w:rPr>
        <w:t>。</w:t>
      </w:r>
      <w:r>
        <w:rPr>
          <w:rFonts w:hint="eastAsia" w:ascii="仿宋" w:hAnsi="仿宋" w:eastAsia="仿宋" w:cs="仿宋"/>
          <w:kern w:val="28"/>
          <w:sz w:val="24"/>
          <w:highlight w:val="white"/>
          <w:lang w:val="en-US" w:eastAsia="zh-CN"/>
        </w:rPr>
        <w:t>党总支的</w:t>
      </w:r>
      <w:r>
        <w:rPr>
          <w:rFonts w:hint="eastAsia" w:ascii="仿宋" w:hAnsi="仿宋" w:eastAsia="仿宋" w:cs="仿宋"/>
          <w:kern w:val="28"/>
          <w:sz w:val="24"/>
          <w:highlight w:val="white"/>
          <w:lang w:eastAsia="zh-CN"/>
        </w:rPr>
        <w:t>《</w:t>
      </w:r>
      <w:r>
        <w:rPr>
          <w:rFonts w:hint="eastAsia" w:ascii="仿宋" w:hAnsi="仿宋" w:eastAsia="仿宋" w:cs="仿宋"/>
          <w:kern w:val="28"/>
          <w:sz w:val="24"/>
          <w:highlight w:val="white"/>
          <w:lang w:val="en-US" w:eastAsia="zh-CN"/>
        </w:rPr>
        <w:t>筑基·润廉·育苗</w:t>
      </w:r>
      <w:r>
        <w:rPr>
          <w:rFonts w:hint="eastAsia" w:ascii="仿宋" w:hAnsi="仿宋" w:eastAsia="仿宋" w:cs="仿宋"/>
          <w:kern w:val="28"/>
          <w:sz w:val="24"/>
          <w:highlight w:val="white"/>
          <w:lang w:eastAsia="zh-CN"/>
        </w:rPr>
        <w:t>》</w:t>
      </w:r>
      <w:r>
        <w:rPr>
          <w:rFonts w:hint="eastAsia" w:ascii="仿宋" w:hAnsi="仿宋" w:eastAsia="仿宋" w:cs="仿宋"/>
          <w:kern w:val="28"/>
          <w:sz w:val="24"/>
          <w:highlight w:val="white"/>
          <w:lang w:val="en-US" w:eastAsia="zh-CN"/>
        </w:rPr>
        <w:t>获区“清廉学校”建设优秀案例。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三是抓实举措，全面落实宣传意识形态主体责任。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抓好校园思想文化阵地建设和管理，多途径有效开展典型宣传</w:t>
      </w:r>
      <w:r>
        <w:rPr>
          <w:rFonts w:hint="default" w:ascii="仿宋" w:hAnsi="仿宋" w:eastAsia="仿宋" w:cs="仿宋"/>
          <w:color w:val="191919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在省市级以上媒体发表新闻报道9篇，集团官微“文三印迹”共推送集团新闻和动态64次。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2" w:firstLineChars="200"/>
        <w:textAlignment w:val="auto"/>
        <w:rPr>
          <w:rFonts w:hint="default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（二）坚持立德于行，教育实践育人润心。一是加强德育队伍建设，丰厚德育保障。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本年度有9</w:t>
      </w:r>
      <w:r>
        <w:rPr>
          <w:rFonts w:hint="eastAsia" w:ascii="仿宋" w:hAnsi="仿宋" w:eastAsia="仿宋" w:cs="仿宋"/>
          <w:color w:val="191919"/>
          <w:sz w:val="24"/>
          <w:szCs w:val="24"/>
        </w:rPr>
        <w:t>项德育研究成果在区市级比赛中获奖，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1人被评为“浙江省十佳智慧班主任”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二是强化德育阵地建设，丰润德育土壤。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集团少先队先后被评为浙江省少先队“红领巾奖章”四星章、杭州市首批少先队工作示范点学校、杭州市第二批少先队改革试点单位。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三是</w:t>
      </w:r>
      <w:r>
        <w:rPr>
          <w:rFonts w:hint="eastAsia" w:ascii="仿宋" w:hAnsi="仿宋" w:eastAsia="仿宋" w:cs="仿宋"/>
          <w:b/>
          <w:sz w:val="24"/>
          <w:szCs w:val="24"/>
        </w:rPr>
        <w:t>推进德育活动建设，丰富德育载体。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定山小学王煜轩获评西湖区“启德少年”；文三街小学陈瑜浩获得杭州市“美德少年”称号。集团8个艺术科技欢乐分团复评顺利通过，新申报5个。积极参加全国各级各类比赛，其中艺术科技类获奖150项，运动竞技类77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atLeast"/>
        <w:ind w:firstLine="482" w:firstLineChars="200"/>
        <w:jc w:val="left"/>
        <w:textAlignment w:val="auto"/>
        <w:rPr>
          <w:rFonts w:hint="eastAsia" w:ascii="宋体" w:hAnsi="宋体" w:eastAsia="仿宋" w:cs="宋体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（三）坚持精准定位，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学为中心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深化改革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sz w:val="24"/>
          <w:szCs w:val="24"/>
        </w:rPr>
        <w:t>一是完善评价机制，激活学教动力</w:t>
      </w:r>
      <w:r>
        <w:rPr>
          <w:rFonts w:hint="default" w:ascii="仿宋" w:hAnsi="仿宋" w:eastAsia="仿宋" w:cs="仿宋"/>
          <w:b/>
          <w:sz w:val="24"/>
          <w:szCs w:val="24"/>
        </w:rPr>
        <w:t>。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出台《教师教学过程性考核办法》,给予每位学生每个学程的多维度评价，形成学生的过程性评价和相关评价图谱，让学习过程可视化。</w:t>
      </w:r>
      <w:r>
        <w:rPr>
          <w:rFonts w:hint="eastAsia" w:ascii="仿宋" w:hAnsi="仿宋" w:eastAsia="仿宋" w:cs="仿宋"/>
          <w:b/>
          <w:sz w:val="24"/>
          <w:szCs w:val="24"/>
        </w:rPr>
        <w:t>二是探索跨界教改，丰富课程建设。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区重大培育项目《“全面+个性”视域下的跨学科主题学习十年探索》及省重点规划课题《“图谱式”践行：小学10%跨学科主题学习的新样态研究》的引领下，打造“跨学科”优质样板。重新修定了“青苹果”课程方案，完善了“德育的三社两日”课程，建构了10%跨学科的课程体系。本年度集团新增精品课程有3项被评为区精品课程，1项被评为市精品课程。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三是</w:t>
      </w:r>
      <w:r>
        <w:rPr>
          <w:rFonts w:hint="eastAsia" w:ascii="仿宋" w:hAnsi="仿宋" w:eastAsia="仿宋" w:cs="仿宋"/>
          <w:b/>
          <w:sz w:val="24"/>
          <w:szCs w:val="24"/>
        </w:rPr>
        <w:t>依托技术支持，数据诊断教学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引</w:t>
      </w:r>
      <w:r>
        <w:rPr>
          <w:rFonts w:hint="eastAsia" w:ascii="仿宋" w:hAnsi="仿宋" w:eastAsia="仿宋" w:cs="仿宋"/>
          <w:color w:val="191919"/>
          <w:sz w:val="24"/>
          <w:szCs w:val="24"/>
          <w:lang w:val="zh-CN" w:eastAsia="zh-CN"/>
        </w:rPr>
        <w:t>入多种信息化教学媒介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赋能课堂</w:t>
      </w:r>
      <w:r>
        <w:rPr>
          <w:rFonts w:hint="eastAsia" w:ascii="仿宋" w:hAnsi="仿宋" w:eastAsia="仿宋" w:cs="仿宋"/>
          <w:color w:val="191919"/>
          <w:sz w:val="24"/>
          <w:szCs w:val="24"/>
          <w:lang w:val="zh-CN" w:eastAsia="zh-CN"/>
        </w:rPr>
        <w:t>，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实现所有学科测试平台出卷，初步建成校本题库资源。充分发挥</w:t>
      </w:r>
      <w:r>
        <w:rPr>
          <w:rFonts w:hint="eastAsia" w:ascii="仿宋" w:hAnsi="仿宋" w:eastAsia="仿宋" w:cs="仿宋"/>
          <w:color w:val="191919"/>
          <w:sz w:val="24"/>
          <w:szCs w:val="24"/>
          <w:lang w:val="zh-CN" w:eastAsia="zh-CN"/>
        </w:rPr>
        <w:t>“一校一报告”的诊断指导作用，</w:t>
      </w:r>
      <w:r>
        <w:rPr>
          <w:rFonts w:hint="eastAsia" w:ascii="仿宋" w:hAnsi="仿宋" w:eastAsia="仿宋" w:cs="仿宋"/>
          <w:color w:val="191919"/>
          <w:sz w:val="24"/>
          <w:szCs w:val="24"/>
          <w:lang w:val="en-US" w:eastAsia="zh-CN"/>
        </w:rPr>
        <w:t>并</w:t>
      </w:r>
      <w:r>
        <w:rPr>
          <w:rFonts w:hint="eastAsia" w:ascii="仿宋" w:hAnsi="仿宋" w:eastAsia="仿宋" w:cs="仿宋"/>
          <w:color w:val="191919"/>
          <w:sz w:val="24"/>
          <w:szCs w:val="24"/>
          <w:lang w:val="zh-CN" w:eastAsia="zh-CN"/>
        </w:rPr>
        <w:t>制定教师教学过程性评价考核细则。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atLeast"/>
        <w:ind w:firstLine="482" w:firstLineChars="200"/>
        <w:textAlignment w:val="auto"/>
        <w:rPr>
          <w:rFonts w:hint="default" w:ascii="宋体" w:hAnsi="宋体"/>
          <w:sz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（四）坚持全面推进，创新科研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稳抓实干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sz w:val="24"/>
          <w:szCs w:val="24"/>
        </w:rPr>
        <w:t>一是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创新模式，助力发展，推动改革</w:t>
      </w:r>
      <w:r>
        <w:rPr>
          <w:rFonts w:hint="eastAsia" w:ascii="仿宋" w:hAnsi="仿宋" w:eastAsia="仿宋" w:cs="仿宋"/>
          <w:b/>
          <w:sz w:val="24"/>
          <w:szCs w:val="24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带领教师推动“5+2”工作模式研究，坚持课题研究与课堂教学、课后托管相融合。合理搭建老中青教师的发展梯度，大力推行骨干教师校区流动，组建科研智囊团，促进集团科研师训改革新发展。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二是组建联盟，教研互促，协同共富。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集团形成“一体两翼”的教科研推进模式，在省级课题引领下，分层形成研究子项，搭建分层评比的教研机制，促进教科研一体化发展，实现集团教科研共富。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三是总结成效，盘活资源，丰盈土壤。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本年度课题立项省级2项、市级9项、区级39项。成果获奖省级1项，市级2项、区级35项。论文获奖市级学会9篇，区级学会1篇，市级专题3篇、区级专题34篇、区少先队4篇，区智慧之光151篇，各级刊物上发表共计22篇。集团被评为杭州市第13届“教育科研先进集体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atLeas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坚持服务提升，倾力改善育人环境。一是做好财务规划，努力做到绩效提升。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积极推进集团新开办文宣小学的建设、装修及采购工作，确保顺利投入使用。对文三街内部环境进行了维修改造，优化了文苑教师餐厅，完成集团学生伙食提价、提质工作，文苑食堂获评“杭州市营养健康食堂”称号，集团获“浙江省健康促进学校发展金牌”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二是细化规章制度，提高服务标准。</w:t>
      </w:r>
      <w:r>
        <w:rPr>
          <w:rFonts w:hint="eastAsia" w:ascii="仿宋" w:hAnsi="仿宋" w:eastAsia="仿宋" w:cs="仿宋"/>
          <w:sz w:val="24"/>
        </w:rPr>
        <w:t>完善</w:t>
      </w:r>
      <w:r>
        <w:rPr>
          <w:rFonts w:hint="eastAsia" w:ascii="仿宋" w:hAnsi="仿宋" w:eastAsia="仿宋" w:cs="仿宋"/>
          <w:sz w:val="24"/>
          <w:lang w:val="en-US" w:eastAsia="zh-CN"/>
        </w:rPr>
        <w:t>后勤安保的管理制度，细化考核方案，加强经费预算改革，</w:t>
      </w:r>
      <w:r>
        <w:rPr>
          <w:rFonts w:hint="eastAsia" w:ascii="仿宋" w:hAnsi="仿宋" w:eastAsia="仿宋" w:cs="仿宋"/>
          <w:sz w:val="24"/>
        </w:rPr>
        <w:t>严格执行预算申报、采购编制、经费报销等环节；加强</w:t>
      </w:r>
      <w:r>
        <w:rPr>
          <w:rFonts w:hint="eastAsia" w:ascii="仿宋" w:hAnsi="仿宋" w:eastAsia="仿宋" w:cs="仿宋"/>
          <w:sz w:val="24"/>
          <w:lang w:val="en-US" w:eastAsia="zh-CN"/>
        </w:rPr>
        <w:t>用餐安全、</w:t>
      </w:r>
      <w:r>
        <w:rPr>
          <w:rFonts w:hint="eastAsia" w:ascii="仿宋" w:hAnsi="仿宋" w:eastAsia="仿宋" w:cs="仿宋"/>
          <w:sz w:val="24"/>
        </w:rPr>
        <w:t>饮用水管理，坚持陪餐制度，</w:t>
      </w:r>
      <w:r>
        <w:rPr>
          <w:rFonts w:hint="eastAsia" w:ascii="仿宋" w:hAnsi="仿宋" w:eastAsia="仿宋" w:cs="仿宋"/>
          <w:sz w:val="24"/>
          <w:lang w:val="en-US" w:eastAsia="zh-CN"/>
        </w:rPr>
        <w:t>落实</w:t>
      </w:r>
      <w:r>
        <w:rPr>
          <w:rFonts w:hint="eastAsia" w:ascii="仿宋" w:hAnsi="仿宋" w:eastAsia="仿宋" w:cs="仿宋"/>
          <w:sz w:val="24"/>
        </w:rPr>
        <w:t>校产管理，健全固定资产档案。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三是加强管理资质，构建安全校园。</w:t>
      </w: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en-US" w:eastAsia="zh-CN"/>
        </w:rPr>
        <w:t>做好集团各校区保安考核、聘任工作，及保洁重新招投标工作。</w:t>
      </w: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zh-CN"/>
        </w:rPr>
        <w:t>加强保安培训、督查</w:t>
      </w: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en-US" w:eastAsia="zh-CN"/>
        </w:rPr>
        <w:t>工作</w:t>
      </w: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zh-CN"/>
        </w:rPr>
        <w:t>，构建安全管理社会体系。</w:t>
      </w: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en-US" w:eastAsia="zh-CN"/>
        </w:rPr>
        <w:t>并</w:t>
      </w:r>
      <w:r>
        <w:rPr>
          <w:rFonts w:hint="eastAsia" w:ascii="仿宋" w:hAnsi="仿宋" w:eastAsia="仿宋" w:cs="仿宋"/>
          <w:kern w:val="28"/>
          <w:sz w:val="24"/>
          <w:szCs w:val="24"/>
          <w:highlight w:val="white"/>
          <w:lang w:val="zh-CN"/>
        </w:rPr>
        <w:t>定期开展专班联合整治，把安全管理的各项措施落到实处。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atLeast"/>
        <w:ind w:right="0" w:rightChars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主要问题与原因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atLeast"/>
        <w:ind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现有场地和设施有时无法满足师生教育教学需求。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近年来，学校致力于培养个性良好全面发展的文三学子，但不论是学生层面的活动开展及参与，还是教师层面的承办活动或赛事，都需要场地硬件的支持，文三街小学部分设施老化，维护难度大，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活动场地的局限与不断提升的学生个性发展需求形成了矛盾。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atLeast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8"/>
          <w:sz w:val="24"/>
          <w:szCs w:val="24"/>
          <w:highlight w:val="white"/>
          <w:lang w:val="zh-CN"/>
        </w:rPr>
        <w:t>（二）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学科研究存在差异，需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统筹突破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目前，集团的科研成绩显著，但纵观整体，学科间的差异性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Hans"/>
        </w:rPr>
        <w:t>依然存在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。集团语文、数学、英语学科的研究成果较多，善于研究的教师比例比其他学科相对多一些，其他学科教师的研究水平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Hans"/>
        </w:rPr>
        <w:t>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本年度有一定提升但仍然存在学科间差异，有待进一步提高。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atLeas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atLeast"/>
        <w:ind w:firstLine="480" w:firstLineChars="200"/>
        <w:jc w:val="right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Hans"/>
        </w:rPr>
        <w:t>杭州市文三教育集团</w:t>
      </w:r>
      <w:r>
        <w:rPr>
          <w:rFonts w:hint="default" w:ascii="仿宋" w:hAnsi="仿宋" w:eastAsia="仿宋" w:cs="仿宋"/>
          <w:color w:val="000000"/>
          <w:sz w:val="24"/>
          <w:szCs w:val="24"/>
          <w:lang w:eastAsia="zh-Hans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Hans"/>
        </w:rPr>
        <w:t>总校</w:t>
      </w:r>
      <w:r>
        <w:rPr>
          <w:rFonts w:hint="default" w:ascii="仿宋" w:hAnsi="仿宋" w:eastAsia="仿宋" w:cs="仿宋"/>
          <w:color w:val="000000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atLeas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Hans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Hans"/>
        </w:rPr>
        <w:t xml:space="preserve">                                               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Hans"/>
        </w:rPr>
        <w:t>年12月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Hans"/>
        </w:rPr>
        <w:t>日</w:t>
      </w:r>
    </w:p>
    <w:p>
      <w:pPr>
        <w:pStyle w:val="7"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20305"/>
    <w:multiLevelType w:val="multilevel"/>
    <w:tmpl w:val="03A20305"/>
    <w:lvl w:ilvl="0" w:tentative="0">
      <w:start w:val="2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jA4NWJhZmNmMWY2YzI5MWNmMjM2M2FiMGZkZTcifQ=="/>
  </w:docVars>
  <w:rsids>
    <w:rsidRoot w:val="0933575E"/>
    <w:rsid w:val="00AD7338"/>
    <w:rsid w:val="0318321D"/>
    <w:rsid w:val="0933575E"/>
    <w:rsid w:val="0C8278CB"/>
    <w:rsid w:val="0F867A11"/>
    <w:rsid w:val="119A0D64"/>
    <w:rsid w:val="13EE3A98"/>
    <w:rsid w:val="1AE96D67"/>
    <w:rsid w:val="1D555317"/>
    <w:rsid w:val="21222FD3"/>
    <w:rsid w:val="258856BA"/>
    <w:rsid w:val="29E74DB9"/>
    <w:rsid w:val="2A60624B"/>
    <w:rsid w:val="4B2A63DE"/>
    <w:rsid w:val="4CC6266A"/>
    <w:rsid w:val="589E6E07"/>
    <w:rsid w:val="5D1F428F"/>
    <w:rsid w:val="5F2E6A0B"/>
    <w:rsid w:val="69EFD9F1"/>
    <w:rsid w:val="71EC078C"/>
    <w:rsid w:val="DDF7F21B"/>
    <w:rsid w:val="F6FBB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2023-12-30T10:42:00Z</dcterms:created>
  <dc:creator>十八</dc:creator>
  <cp:lastModifiedBy>QD</cp:lastModifiedBy>
  <dcterms:modified xsi:type="dcterms:W3CDTF">2024-01-01T22:20:47Z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FEBEDDD4D0E0494BA95CBDBB980AD4B3_11</vt:lpwstr>
  </property>
</Properties>
</file>